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2C"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bookmarkStart w:id="0" w:name="_GoBack"/>
      <w:bookmarkEnd w:id="0"/>
      <w:r>
        <w:rPr>
          <w:b/>
          <w:color w:val="000000"/>
          <w:lang w:val="en-US"/>
        </w:rPr>
        <w:t xml:space="preserve">                      </w:t>
      </w:r>
      <w:r w:rsidR="000C282C" w:rsidRPr="00FC2974">
        <w:rPr>
          <w:b/>
          <w:color w:val="000000"/>
        </w:rPr>
        <w:tab/>
      </w:r>
      <w:r w:rsidRPr="00FE0E49">
        <w:rPr>
          <w:rFonts w:ascii="Times New Roman" w:eastAsia="Times New Roman" w:hAnsi="Times New Roman" w:cs="Times New Roman"/>
          <w:color w:val="000000"/>
          <w:sz w:val="24"/>
          <w:szCs w:val="24"/>
          <w:lang w:val="en-US"/>
        </w:rPr>
        <w:t xml:space="preserve">                  ELIGIBILITY OF EXPENDITURE:</w:t>
      </w:r>
    </w:p>
    <w:p w:rsid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FE0E49" w:rsidRP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General principles on the eligibility of expenditures </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1. Eligible expenditures of projects are those actually incurred within the project, which meet the following criteria:</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(a) they are incurred between the first and final dates of eligibility of a project as specified in the project contract, but not later than April 30, 2024;</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(b) they are connected with the subject of the project contract and they are indicated in the detailed budget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(c) they are proportionate and necessary for the implementation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(d) they must be used for the sole purpose of achieving the objective(s) of the project and its expected outcome(s), in a manner consistent with the principles of economy, efficiency and effectiveness;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(e) they are identifiable and verifiable, in particular through being recorded in the accounting records of the Project Promoter and/or project partner and determined according to the applicable accounting standards of the country where the Project Promoter and/or project partner is established and according to generally accepted accounting principles; and</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(f) they comply with the requirements of applicable tax and social legislation.</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2. Expenditures are considered to have been incurred when the cost has been invoiced, paid and the subject matter delivered (in case of goods) or performed (in case of services and works). Exceptionally, costs in respect of which an invoice has been issued in the final month of eligibility are also deemed to be incurred within the dates of eligibility if the costs are paid within 30 days of the final date for eligibility. Overheads and depreciation of equipment are considered to have been incurred when they are recorded on the accounts of the Project Promoter and/or project partner.</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3. Where new or second hand equipment is purchased, only the portion of the depreciation corresponding to the duration of the project and the rate of actual use for the purposes of the project may be considered eligible expenditure.</w:t>
      </w:r>
    </w:p>
    <w:p w:rsidR="008C568D" w:rsidRPr="008C568D" w:rsidRDefault="008C568D" w:rsidP="008C568D">
      <w:pPr>
        <w:spacing w:after="0" w:line="240" w:lineRule="auto"/>
        <w:ind w:firstLine="567"/>
        <w:jc w:val="both"/>
        <w:rPr>
          <w:rFonts w:ascii="Times New Roman" w:eastAsia="Times New Roman" w:hAnsi="Times New Roman" w:cs="Times New Roman"/>
          <w:color w:val="000000"/>
          <w:sz w:val="24"/>
          <w:szCs w:val="24"/>
          <w:lang w:val="en-US"/>
        </w:rPr>
      </w:pPr>
      <w:r w:rsidRPr="008C568D">
        <w:rPr>
          <w:rFonts w:ascii="Times New Roman" w:eastAsia="Times New Roman" w:hAnsi="Times New Roman" w:cs="Times New Roman"/>
          <w:color w:val="000000"/>
          <w:sz w:val="24"/>
          <w:szCs w:val="24"/>
          <w:lang w:val="en-US"/>
        </w:rPr>
        <w:t>4. In regard to projects implemented by Beneficiaries – State institutions, the depreciation charge is regulated by the Instruction of the Minister of Finance, VAT 5 / 30.09.2016, which defines the conceptual model for applying the national accounting standard (CC 4 Accounting on Depreciation). For internal structures of the Ministry of Interior, the depreciation charge is regulated by the adopted MoI depeciation policy and by instructions from the Directorate “Planning and Budget Management” - MoI.</w:t>
      </w:r>
    </w:p>
    <w:p w:rsidR="008C568D" w:rsidRDefault="008C568D" w:rsidP="008C568D">
      <w:pPr>
        <w:spacing w:after="0" w:line="240" w:lineRule="auto"/>
        <w:ind w:firstLine="567"/>
        <w:jc w:val="both"/>
        <w:rPr>
          <w:rFonts w:ascii="Times New Roman" w:eastAsia="Times New Roman" w:hAnsi="Times New Roman" w:cs="Times New Roman"/>
          <w:color w:val="000000"/>
          <w:sz w:val="24"/>
          <w:szCs w:val="24"/>
        </w:rPr>
      </w:pPr>
      <w:r w:rsidRPr="008C568D">
        <w:rPr>
          <w:rFonts w:ascii="Times New Roman" w:eastAsia="Times New Roman" w:hAnsi="Times New Roman" w:cs="Times New Roman"/>
          <w:color w:val="000000"/>
          <w:sz w:val="24"/>
          <w:szCs w:val="24"/>
          <w:lang w:val="en-US"/>
        </w:rPr>
        <w:t>5. The Net revenues directly generated by a project during its implementation which have not been taken into account at the time of approval of the project shall be deducted from the eligible costs of the project at the latest in the final payment claim submitted by the beneficiary.</w:t>
      </w:r>
    </w:p>
    <w:p w:rsidR="000C282C" w:rsidRPr="00FE0E49" w:rsidRDefault="000C282C" w:rsidP="008C568D">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6. The Project Promoter’s internal accounting and auditing procedures must permit direct reconciliation of the expenditures and revenue declared in respect of the project with the corresponding accounting statements and supporting documents.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7. In case of projects implemented by an international organisation or body or an agency thereof, the programme agreement may include specific provisions with regard to the eligibility of expenditure.</w:t>
      </w: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rPr>
        <w:t>Eligible direct expenditures in a project</w:t>
      </w:r>
      <w:r w:rsidRPr="00CD0CF3">
        <w:rPr>
          <w:rFonts w:ascii="Times New Roman" w:eastAsia="Times New Roman" w:hAnsi="Times New Roman" w:cs="Times New Roman"/>
          <w:b/>
          <w:color w:val="000000"/>
          <w:sz w:val="24"/>
          <w:szCs w:val="24"/>
          <w:lang w:val="en-US"/>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rPr>
        <w:t xml:space="preserve">1. The eligible direct expenditures for a project are those expenditures which are identified by the Project Promoter and/or the project partner, in accordance with their </w:t>
      </w:r>
      <w:r w:rsidRPr="00CD0CF3">
        <w:rPr>
          <w:rFonts w:ascii="Times New Roman" w:eastAsia="Times New Roman" w:hAnsi="Times New Roman" w:cs="Times New Roman"/>
          <w:color w:val="000000"/>
          <w:sz w:val="24"/>
          <w:szCs w:val="24"/>
        </w:rPr>
        <w:lastRenderedPageBreak/>
        <w:t>accounting principles and usual internal rules, as specific expenditures directly linked to the implementation of the project and which can therefore be booked to it directly. The following direct expenditures are eligible provided that they satisfy the</w:t>
      </w:r>
      <w:r w:rsidRPr="00CD0CF3">
        <w:rPr>
          <w:rFonts w:ascii="Times New Roman" w:eastAsia="Times New Roman" w:hAnsi="Times New Roman" w:cs="Times New Roman"/>
          <w:color w:val="000000"/>
          <w:sz w:val="24"/>
          <w:szCs w:val="24"/>
          <w:lang w:val="en-US"/>
        </w:rPr>
        <w:t xml:space="preserve"> following</w:t>
      </w:r>
      <w:r w:rsidRPr="00CD0CF3">
        <w:rPr>
          <w:rFonts w:ascii="Times New Roman" w:eastAsia="Times New Roman" w:hAnsi="Times New Roman" w:cs="Times New Roman"/>
          <w:color w:val="000000"/>
          <w:sz w:val="24"/>
          <w:szCs w:val="24"/>
        </w:rPr>
        <w:t xml:space="preserve"> criteria: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(a) the cost of staff assigned to the project, comprising actual salaries plus social security charges and other statutory costs included in the remuneration, provided that this corresponds to the Project Promoter’s and project partner’s usual policy on remuneration. The corresponding salary costs of staff of national administrations are eligible to the extent that they relate to the cost of activities which the relevant public authority would not carry out if the project concerned were not undertaken;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(b) </w:t>
      </w:r>
      <w:r w:rsidRPr="00CD0CF3">
        <w:rPr>
          <w:rFonts w:ascii="Times New Roman" w:eastAsia="Times New Roman" w:hAnsi="Times New Roman" w:cs="Times New Roman"/>
          <w:color w:val="000000"/>
          <w:sz w:val="24"/>
          <w:szCs w:val="24"/>
          <w:lang w:val="en-US"/>
        </w:rPr>
        <w:t>travel costs</w:t>
      </w:r>
      <w:r w:rsidRPr="00CD0CF3">
        <w:rPr>
          <w:rFonts w:ascii="Times New Roman" w:eastAsia="Times New Roman" w:hAnsi="Times New Roman" w:cs="Times New Roman"/>
          <w:color w:val="000000"/>
          <w:sz w:val="24"/>
          <w:szCs w:val="24"/>
        </w:rPr>
        <w:t xml:space="preserve"> (travel, subsistence and accommodation) for staff or other persons participating in the project activities whose travel are necessary for the implementation of the project; </w:t>
      </w:r>
      <w:r w:rsidRPr="00CD0CF3">
        <w:rPr>
          <w:rFonts w:ascii="Times New Roman" w:eastAsia="Times New Roman" w:hAnsi="Times New Roman" w:cs="Times New Roman"/>
          <w:color w:val="000000"/>
          <w:sz w:val="24"/>
          <w:szCs w:val="24"/>
          <w:lang w:val="en-US"/>
        </w:rPr>
        <w:t>the costs</w:t>
      </w:r>
      <w:r w:rsidRPr="00CD0CF3">
        <w:rPr>
          <w:rFonts w:ascii="Times New Roman" w:eastAsia="Times New Roman" w:hAnsi="Times New Roman" w:cs="Times New Roman"/>
          <w:color w:val="000000"/>
          <w:sz w:val="24"/>
          <w:szCs w:val="24"/>
        </w:rPr>
        <w:t xml:space="preserve"> shall be determined in accordance with the benefici</w:t>
      </w:r>
      <w:r w:rsidRPr="00CD0CF3">
        <w:rPr>
          <w:rFonts w:ascii="Times New Roman" w:eastAsia="Times New Roman" w:hAnsi="Times New Roman" w:cs="Times New Roman"/>
          <w:color w:val="000000"/>
          <w:sz w:val="24"/>
          <w:szCs w:val="24"/>
          <w:lang w:val="en-US"/>
        </w:rPr>
        <w:t>ery</w:t>
      </w:r>
      <w:r w:rsidRPr="00CD0CF3">
        <w:rPr>
          <w:rFonts w:ascii="Times New Roman" w:eastAsia="Times New Roman" w:hAnsi="Times New Roman" w:cs="Times New Roman"/>
          <w:color w:val="000000"/>
          <w:sz w:val="24"/>
          <w:szCs w:val="24"/>
        </w:rPr>
        <w:t>’s national legislation or the rules in force in international and other organizations;</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c) cost of new equipment. In case the Programme Operator determines that the equipment is an integral and necessary component for achieving the outcomes of the project, the entire purchase price of that equipment may, by way of exception from the rule contained in paragraph 4 of Article 8.2</w:t>
      </w:r>
      <w:r w:rsidRPr="00CD0CF3">
        <w:rPr>
          <w:rFonts w:ascii="Times New Roman" w:eastAsia="Times New Roman" w:hAnsi="Times New Roman" w:cs="Times New Roman"/>
          <w:color w:val="000000"/>
          <w:sz w:val="24"/>
          <w:szCs w:val="24"/>
          <w:lang w:val="en-US"/>
        </w:rPr>
        <w:t xml:space="preserve"> of the Regulation</w:t>
      </w:r>
      <w:r w:rsidRPr="00CD0CF3">
        <w:rPr>
          <w:rFonts w:ascii="Times New Roman" w:eastAsia="Times New Roman" w:hAnsi="Times New Roman" w:cs="Times New Roman"/>
          <w:color w:val="000000"/>
          <w:sz w:val="24"/>
          <w:szCs w:val="24"/>
        </w:rPr>
        <w:t xml:space="preserve">, be eligible. It is also eligible to acquire equipment by hiring and leasing only if it is of essential significance for the implementation of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(d) purchase of land and real estate under the conditions set in Article 8.6 of the Regulation.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 xml:space="preserve">(e) Eligible are costs for repair of real estate - on the basis of full or partial costs or on the basis of depreciation expenditures only where the real estate is to be used solely for the purposes stated in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f</w:t>
      </w:r>
      <w:r w:rsidRPr="00CD0CF3">
        <w:rPr>
          <w:rFonts w:ascii="Times New Roman" w:eastAsia="Times New Roman" w:hAnsi="Times New Roman" w:cs="Times New Roman"/>
          <w:color w:val="000000"/>
          <w:sz w:val="24"/>
          <w:szCs w:val="24"/>
        </w:rPr>
        <w:t>) costs of consumables and supplies, provided that they are identifiable and assigned to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g</w:t>
      </w:r>
      <w:r w:rsidRPr="00CD0CF3">
        <w:rPr>
          <w:rFonts w:ascii="Times New Roman" w:eastAsia="Times New Roman" w:hAnsi="Times New Roman" w:cs="Times New Roman"/>
          <w:color w:val="000000"/>
          <w:sz w:val="24"/>
          <w:szCs w:val="24"/>
        </w:rPr>
        <w:t>) costs entailed by other contracts awarded by a Project Promoter for the purposes of carrying out the project, provided that the awarding complies with the applicable rules on public procurement and this Regulation; For subcontracts - where the final beneficiaries</w:t>
      </w:r>
      <w:r w:rsidRPr="00CD0CF3">
        <w:rPr>
          <w:rFonts w:ascii="Times New Roman" w:eastAsia="Times New Roman" w:hAnsi="Times New Roman" w:cs="Times New Roman"/>
          <w:color w:val="000000"/>
          <w:sz w:val="24"/>
          <w:szCs w:val="24"/>
          <w:lang w:val="en-US"/>
        </w:rPr>
        <w:t xml:space="preserve"> themselves</w:t>
      </w:r>
      <w:r w:rsidRPr="00CD0CF3">
        <w:rPr>
          <w:rFonts w:ascii="Times New Roman" w:eastAsia="Times New Roman" w:hAnsi="Times New Roman" w:cs="Times New Roman"/>
          <w:color w:val="000000"/>
          <w:sz w:val="24"/>
          <w:szCs w:val="24"/>
        </w:rPr>
        <w:t xml:space="preserve"> do not have the capacity to carry out the activities</w:t>
      </w:r>
      <w:r w:rsidRPr="00CD0CF3">
        <w:rPr>
          <w:rFonts w:ascii="Times New Roman" w:eastAsia="Times New Roman" w:hAnsi="Times New Roman" w:cs="Times New Roman"/>
          <w:color w:val="000000"/>
          <w:sz w:val="24"/>
          <w:szCs w:val="24"/>
          <w:lang w:val="en-US"/>
        </w:rPr>
        <w:t xml:space="preserve">, </w:t>
      </w:r>
      <w:r w:rsidRPr="00CD0CF3">
        <w:rPr>
          <w:rFonts w:ascii="Times New Roman" w:eastAsia="Times New Roman" w:hAnsi="Times New Roman" w:cs="Times New Roman"/>
          <w:color w:val="000000"/>
          <w:sz w:val="24"/>
          <w:szCs w:val="24"/>
        </w:rPr>
        <w:t xml:space="preserve">approved </w:t>
      </w:r>
      <w:r w:rsidRPr="00CD0CF3">
        <w:rPr>
          <w:rFonts w:ascii="Times New Roman" w:eastAsia="Times New Roman" w:hAnsi="Times New Roman" w:cs="Times New Roman"/>
          <w:color w:val="000000"/>
          <w:sz w:val="24"/>
          <w:szCs w:val="24"/>
          <w:lang w:val="en-US"/>
        </w:rPr>
        <w:t>within</w:t>
      </w:r>
      <w:r w:rsidRPr="00CD0CF3">
        <w:rPr>
          <w:rFonts w:ascii="Times New Roman" w:eastAsia="Times New Roman" w:hAnsi="Times New Roman" w:cs="Times New Roman"/>
          <w:color w:val="000000"/>
          <w:sz w:val="24"/>
          <w:szCs w:val="24"/>
        </w:rPr>
        <w:t xml:space="preserve"> the specific project; the conclusion of subcontracts and the amount to </w:t>
      </w:r>
      <w:r w:rsidRPr="00CD0CF3">
        <w:rPr>
          <w:rFonts w:ascii="Times New Roman" w:eastAsia="Times New Roman" w:hAnsi="Times New Roman" w:cs="Times New Roman"/>
          <w:color w:val="000000"/>
          <w:sz w:val="24"/>
          <w:szCs w:val="24"/>
          <w:lang w:val="en-US"/>
        </w:rPr>
        <w:t>carry out</w:t>
      </w:r>
      <w:r w:rsidRPr="00CD0CF3">
        <w:rPr>
          <w:rFonts w:ascii="Times New Roman" w:eastAsia="Times New Roman" w:hAnsi="Times New Roman" w:cs="Times New Roman"/>
          <w:color w:val="000000"/>
          <w:sz w:val="24"/>
          <w:szCs w:val="24"/>
        </w:rPr>
        <w:t xml:space="preserve"> the tasks assigned to them under the project must be specified </w:t>
      </w:r>
      <w:r w:rsidRPr="00CD0CF3">
        <w:rPr>
          <w:rFonts w:ascii="Times New Roman" w:eastAsia="Times New Roman" w:hAnsi="Times New Roman" w:cs="Times New Roman"/>
          <w:color w:val="000000"/>
          <w:sz w:val="24"/>
          <w:szCs w:val="24"/>
          <w:lang w:val="en-US"/>
        </w:rPr>
        <w:t xml:space="preserve">precisely </w:t>
      </w:r>
      <w:r w:rsidRPr="00CD0CF3">
        <w:rPr>
          <w:rFonts w:ascii="Times New Roman" w:eastAsia="Times New Roman" w:hAnsi="Times New Roman" w:cs="Times New Roman"/>
          <w:color w:val="000000"/>
          <w:sz w:val="24"/>
          <w:szCs w:val="24"/>
        </w:rPr>
        <w:t xml:space="preserve">in the </w:t>
      </w:r>
      <w:r w:rsidRPr="00CD0CF3">
        <w:rPr>
          <w:rFonts w:ascii="Times New Roman" w:eastAsia="Times New Roman" w:hAnsi="Times New Roman" w:cs="Times New Roman"/>
          <w:color w:val="000000"/>
          <w:sz w:val="24"/>
          <w:szCs w:val="24"/>
          <w:lang w:val="en-US"/>
        </w:rPr>
        <w:t>project contract</w:t>
      </w:r>
      <w:r w:rsidRPr="00CD0CF3">
        <w:rPr>
          <w:rFonts w:ascii="Times New Roman" w:eastAsia="Times New Roman" w:hAnsi="Times New Roman" w:cs="Times New Roman"/>
          <w:color w:val="000000"/>
          <w:sz w:val="24"/>
          <w:szCs w:val="24"/>
        </w:rPr>
        <w:t xml:space="preserve"> or equivalent legal instrument</w:t>
      </w:r>
      <w:r w:rsidRPr="00CD0CF3">
        <w:rPr>
          <w:rFonts w:ascii="Times New Roman" w:eastAsia="Times New Roman" w:hAnsi="Times New Roman" w:cs="Times New Roman"/>
          <w:color w:val="000000"/>
          <w:sz w:val="24"/>
          <w:szCs w:val="24"/>
          <w:lang w:val="en-US"/>
        </w:rPr>
        <w:t>,</w:t>
      </w:r>
      <w:r w:rsidRPr="00CD0CF3">
        <w:rPr>
          <w:rFonts w:ascii="Times New Roman" w:eastAsia="Times New Roman" w:hAnsi="Times New Roman" w:cs="Times New Roman"/>
          <w:color w:val="000000"/>
          <w:sz w:val="24"/>
          <w:szCs w:val="24"/>
        </w:rPr>
        <w:t xml:space="preserve"> such as:</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when a</w:t>
      </w:r>
      <w:r w:rsidRPr="00CD0CF3">
        <w:rPr>
          <w:rFonts w:ascii="Times New Roman" w:eastAsia="Times New Roman" w:hAnsi="Times New Roman" w:cs="Times New Roman"/>
          <w:color w:val="000000"/>
          <w:sz w:val="24"/>
          <w:szCs w:val="24"/>
          <w:lang w:val="en-US"/>
        </w:rPr>
        <w:t>ssign</w:t>
      </w:r>
      <w:r w:rsidRPr="00CD0CF3">
        <w:rPr>
          <w:rFonts w:ascii="Times New Roman" w:eastAsia="Times New Roman" w:hAnsi="Times New Roman" w:cs="Times New Roman"/>
          <w:color w:val="000000"/>
          <w:sz w:val="24"/>
          <w:szCs w:val="24"/>
        </w:rPr>
        <w:t>ing contracts for the implementation of the projects, the contracting entities under Art. 5 and Art. 6 of the Public Procurement Act (PP</w:t>
      </w:r>
      <w:r w:rsidRPr="00CD0CF3">
        <w:rPr>
          <w:rFonts w:ascii="Times New Roman" w:eastAsia="Times New Roman" w:hAnsi="Times New Roman" w:cs="Times New Roman"/>
          <w:color w:val="000000"/>
          <w:sz w:val="24"/>
          <w:szCs w:val="24"/>
          <w:lang w:val="en-US"/>
        </w:rPr>
        <w:t>A</w:t>
      </w:r>
      <w:r w:rsidRPr="00CD0CF3">
        <w:rPr>
          <w:rFonts w:ascii="Times New Roman" w:eastAsia="Times New Roman" w:hAnsi="Times New Roman" w:cs="Times New Roman"/>
          <w:color w:val="000000"/>
          <w:sz w:val="24"/>
          <w:szCs w:val="24"/>
        </w:rPr>
        <w:t xml:space="preserve">) act in accordance with </w:t>
      </w:r>
      <w:r w:rsidRPr="00CD0CF3">
        <w:rPr>
          <w:rFonts w:ascii="Times New Roman" w:eastAsia="Times New Roman" w:hAnsi="Times New Roman" w:cs="Times New Roman"/>
          <w:color w:val="000000"/>
          <w:sz w:val="24"/>
          <w:szCs w:val="24"/>
          <w:lang w:val="en-US"/>
        </w:rPr>
        <w:t xml:space="preserve">the </w:t>
      </w:r>
      <w:r w:rsidRPr="00CD0CF3">
        <w:rPr>
          <w:rFonts w:ascii="Times New Roman" w:eastAsia="Times New Roman" w:hAnsi="Times New Roman" w:cs="Times New Roman"/>
          <w:color w:val="000000"/>
          <w:sz w:val="24"/>
          <w:szCs w:val="24"/>
        </w:rPr>
        <w:t>national legislation in the field of the</w:t>
      </w:r>
      <w:r w:rsidRPr="00CD0CF3">
        <w:rPr>
          <w:rFonts w:ascii="Times New Roman" w:eastAsia="Times New Roman" w:hAnsi="Times New Roman" w:cs="Times New Roman"/>
          <w:color w:val="000000"/>
          <w:sz w:val="24"/>
          <w:szCs w:val="24"/>
          <w:lang w:val="en-US"/>
        </w:rPr>
        <w:t xml:space="preserve"> </w:t>
      </w:r>
      <w:r w:rsidRPr="00CD0CF3">
        <w:rPr>
          <w:rFonts w:ascii="Times New Roman" w:eastAsia="Times New Roman" w:hAnsi="Times New Roman" w:cs="Times New Roman"/>
          <w:color w:val="000000"/>
          <w:sz w:val="24"/>
          <w:szCs w:val="24"/>
        </w:rPr>
        <w:t xml:space="preserve"> public procurement</w:t>
      </w:r>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entities other than the </w:t>
      </w:r>
      <w:r w:rsidRPr="00CD0CF3">
        <w:rPr>
          <w:rFonts w:ascii="Times New Roman" w:eastAsia="Times New Roman" w:hAnsi="Times New Roman" w:cs="Times New Roman"/>
          <w:color w:val="000000"/>
          <w:sz w:val="24"/>
          <w:szCs w:val="24"/>
          <w:lang w:val="en-US"/>
        </w:rPr>
        <w:t>indicat</w:t>
      </w:r>
      <w:r w:rsidRPr="00CD0CF3">
        <w:rPr>
          <w:rFonts w:ascii="Times New Roman" w:eastAsia="Times New Roman" w:hAnsi="Times New Roman" w:cs="Times New Roman"/>
          <w:color w:val="000000"/>
          <w:sz w:val="24"/>
          <w:szCs w:val="24"/>
        </w:rPr>
        <w:t xml:space="preserve">ed contracting entities under Art. 5 and Art. (6) of the Public Procurement Act (PPA) </w:t>
      </w:r>
      <w:r w:rsidRPr="00CD0CF3">
        <w:rPr>
          <w:rFonts w:ascii="Times New Roman" w:eastAsia="Times New Roman" w:hAnsi="Times New Roman" w:cs="Times New Roman"/>
          <w:color w:val="000000"/>
          <w:sz w:val="24"/>
          <w:szCs w:val="24"/>
          <w:lang w:val="en-US"/>
        </w:rPr>
        <w:t>assign</w:t>
      </w:r>
      <w:r w:rsidRPr="00CD0CF3">
        <w:rPr>
          <w:rFonts w:ascii="Times New Roman" w:eastAsia="Times New Roman" w:hAnsi="Times New Roman" w:cs="Times New Roman"/>
          <w:color w:val="000000"/>
          <w:sz w:val="24"/>
          <w:szCs w:val="24"/>
        </w:rPr>
        <w:t xml:space="preserve"> contracts for implementation of projects in compliance with the principles of publicity and transparency, free and fair competition, equality and non-discrimination and under the terms and conditions of Decree № 118 of the Council of Ministers on the conditions and the procedure for designating a </w:t>
      </w:r>
      <w:r w:rsidRPr="00CD0CF3">
        <w:rPr>
          <w:rFonts w:ascii="Times New Roman" w:eastAsia="Times New Roman" w:hAnsi="Times New Roman" w:cs="Times New Roman"/>
          <w:color w:val="000000"/>
          <w:sz w:val="24"/>
          <w:szCs w:val="24"/>
          <w:lang w:val="en-US"/>
        </w:rPr>
        <w:t>sub-</w:t>
      </w:r>
      <w:r w:rsidRPr="00CD0CF3">
        <w:rPr>
          <w:rFonts w:ascii="Times New Roman" w:eastAsia="Times New Roman" w:hAnsi="Times New Roman" w:cs="Times New Roman"/>
          <w:color w:val="000000"/>
          <w:sz w:val="24"/>
          <w:szCs w:val="24"/>
        </w:rPr>
        <w:t xml:space="preserve">contractor by a beneficiary of a grant from the European Regional Development Fund, the European Social Fund, the Cohesion Fund, the European Maritime and Fisheries Fund, the Financial Mechanism </w:t>
      </w:r>
      <w:r w:rsidRPr="00CD0CF3">
        <w:rPr>
          <w:rFonts w:ascii="Times New Roman" w:eastAsia="Times New Roman" w:hAnsi="Times New Roman" w:cs="Times New Roman"/>
          <w:color w:val="000000"/>
          <w:sz w:val="24"/>
          <w:szCs w:val="24"/>
          <w:lang w:val="en-US"/>
        </w:rPr>
        <w:t>of</w:t>
      </w:r>
      <w:r w:rsidRPr="00CD0CF3">
        <w:rPr>
          <w:rFonts w:ascii="Times New Roman" w:eastAsia="Times New Roman" w:hAnsi="Times New Roman" w:cs="Times New Roman"/>
          <w:color w:val="000000"/>
          <w:sz w:val="24"/>
          <w:szCs w:val="24"/>
        </w:rPr>
        <w:t xml:space="preserve"> the EEA and </w:t>
      </w:r>
      <w:r w:rsidRPr="00CD0CF3">
        <w:rPr>
          <w:rFonts w:ascii="Times New Roman" w:eastAsia="Times New Roman" w:hAnsi="Times New Roman" w:cs="Times New Roman"/>
          <w:color w:val="000000"/>
          <w:sz w:val="24"/>
          <w:szCs w:val="24"/>
          <w:lang w:val="en-US"/>
        </w:rPr>
        <w:t xml:space="preserve">the </w:t>
      </w:r>
      <w:r w:rsidRPr="00CD0CF3">
        <w:rPr>
          <w:rFonts w:ascii="Times New Roman" w:eastAsia="Times New Roman" w:hAnsi="Times New Roman" w:cs="Times New Roman"/>
          <w:color w:val="000000"/>
          <w:sz w:val="24"/>
          <w:szCs w:val="24"/>
        </w:rPr>
        <w:t>Norwegian Financial Mechanism (SG. 44 of 2014);</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The s</w:t>
      </w:r>
      <w:r w:rsidRPr="00CD0CF3">
        <w:rPr>
          <w:rFonts w:ascii="Times New Roman" w:eastAsia="Times New Roman" w:hAnsi="Times New Roman" w:cs="Times New Roman"/>
          <w:color w:val="000000"/>
          <w:sz w:val="24"/>
          <w:szCs w:val="24"/>
        </w:rPr>
        <w:t>ubcontract</w:t>
      </w:r>
      <w:r w:rsidRPr="00CD0CF3">
        <w:rPr>
          <w:rFonts w:ascii="Times New Roman" w:eastAsia="Times New Roman" w:hAnsi="Times New Roman" w:cs="Times New Roman"/>
          <w:color w:val="000000"/>
          <w:sz w:val="24"/>
          <w:szCs w:val="24"/>
          <w:lang w:val="en-US"/>
        </w:rPr>
        <w:t>ed</w:t>
      </w:r>
      <w:r w:rsidRPr="00CD0CF3">
        <w:rPr>
          <w:rFonts w:ascii="Times New Roman" w:eastAsia="Times New Roman" w:hAnsi="Times New Roman" w:cs="Times New Roman"/>
          <w:color w:val="000000"/>
          <w:sz w:val="24"/>
          <w:szCs w:val="24"/>
        </w:rPr>
        <w:t xml:space="preserve"> costs are categorized according to their type – </w:t>
      </w:r>
      <w:r w:rsidRPr="00CD0CF3">
        <w:rPr>
          <w:rFonts w:ascii="Times New Roman" w:eastAsia="Times New Roman" w:hAnsi="Times New Roman" w:cs="Times New Roman"/>
          <w:color w:val="000000"/>
          <w:sz w:val="24"/>
          <w:szCs w:val="24"/>
          <w:lang w:val="en-US"/>
        </w:rPr>
        <w:t xml:space="preserve">tangible </w:t>
      </w:r>
      <w:r w:rsidRPr="00CD0CF3">
        <w:rPr>
          <w:rFonts w:ascii="Times New Roman" w:eastAsia="Times New Roman" w:hAnsi="Times New Roman" w:cs="Times New Roman"/>
          <w:color w:val="000000"/>
          <w:sz w:val="24"/>
          <w:szCs w:val="24"/>
        </w:rPr>
        <w:t>fixed assets, service</w:t>
      </w:r>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 xml:space="preserve">, consumables and materials, etc. (please see the </w:t>
      </w:r>
      <w:r w:rsidRPr="00CD0CF3">
        <w:rPr>
          <w:rFonts w:ascii="Times New Roman" w:eastAsia="Times New Roman" w:hAnsi="Times New Roman" w:cs="Times New Roman"/>
          <w:color w:val="000000"/>
          <w:sz w:val="24"/>
          <w:szCs w:val="24"/>
          <w:lang w:val="en-US"/>
        </w:rPr>
        <w:t>G</w:t>
      </w:r>
      <w:r w:rsidRPr="00CD0CF3">
        <w:rPr>
          <w:rFonts w:ascii="Times New Roman" w:eastAsia="Times New Roman" w:hAnsi="Times New Roman" w:cs="Times New Roman"/>
          <w:color w:val="000000"/>
          <w:sz w:val="24"/>
          <w:szCs w:val="24"/>
        </w:rPr>
        <w:t>uidelines</w:t>
      </w:r>
      <w:r w:rsidRPr="00CD0CF3">
        <w:rPr>
          <w:rFonts w:ascii="Times New Roman" w:eastAsia="Times New Roman" w:hAnsi="Times New Roman" w:cs="Times New Roman"/>
          <w:color w:val="000000"/>
          <w:sz w:val="24"/>
          <w:szCs w:val="24"/>
          <w:lang w:val="en-US"/>
        </w:rPr>
        <w:t xml:space="preserve"> for B</w:t>
      </w:r>
      <w:r w:rsidRPr="00CD0CF3">
        <w:rPr>
          <w:rFonts w:ascii="Times New Roman" w:eastAsia="Times New Roman" w:hAnsi="Times New Roman" w:cs="Times New Roman"/>
          <w:color w:val="000000"/>
          <w:sz w:val="24"/>
          <w:szCs w:val="24"/>
        </w:rPr>
        <w:t xml:space="preserve">udget </w:t>
      </w:r>
      <w:r w:rsidRPr="00CD0CF3">
        <w:rPr>
          <w:rFonts w:ascii="Times New Roman" w:eastAsia="Times New Roman" w:hAnsi="Times New Roman" w:cs="Times New Roman"/>
          <w:color w:val="000000"/>
          <w:sz w:val="24"/>
          <w:szCs w:val="24"/>
          <w:lang w:val="en-US"/>
        </w:rPr>
        <w:t>D</w:t>
      </w:r>
      <w:r w:rsidRPr="00CD0CF3">
        <w:rPr>
          <w:rFonts w:ascii="Times New Roman" w:eastAsia="Times New Roman" w:hAnsi="Times New Roman" w:cs="Times New Roman"/>
          <w:color w:val="000000"/>
          <w:sz w:val="24"/>
          <w:szCs w:val="24"/>
        </w:rPr>
        <w:t>evelopment);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lastRenderedPageBreak/>
        <w:t>(h) costs directly stemming from the requirements associated with NF</w:t>
      </w:r>
      <w:r w:rsidRPr="00CD0CF3">
        <w:rPr>
          <w:rFonts w:ascii="Times New Roman" w:eastAsia="Times New Roman" w:hAnsi="Times New Roman" w:cs="Times New Roman"/>
          <w:color w:val="000000"/>
          <w:sz w:val="24"/>
          <w:szCs w:val="24"/>
          <w:lang w:val="en-US"/>
        </w:rPr>
        <w:t>M</w:t>
      </w:r>
      <w:r w:rsidRPr="00CD0CF3">
        <w:rPr>
          <w:rFonts w:ascii="Times New Roman" w:eastAsia="Times New Roman" w:hAnsi="Times New Roman" w:cs="Times New Roman"/>
          <w:color w:val="000000"/>
          <w:sz w:val="24"/>
          <w:szCs w:val="24"/>
        </w:rPr>
        <w:t xml:space="preserve"> co-financing such as publicity, transparency, project </w:t>
      </w:r>
      <w:r w:rsidRPr="00CD0CF3">
        <w:rPr>
          <w:rFonts w:ascii="Times New Roman" w:eastAsia="Times New Roman" w:hAnsi="Times New Roman" w:cs="Times New Roman"/>
          <w:color w:val="000000"/>
          <w:sz w:val="24"/>
          <w:szCs w:val="24"/>
          <w:lang w:val="en-US"/>
        </w:rPr>
        <w:t>evaluation</w:t>
      </w:r>
      <w:r w:rsidRPr="00CD0CF3">
        <w:rPr>
          <w:rFonts w:ascii="Times New Roman" w:eastAsia="Times New Roman" w:hAnsi="Times New Roman" w:cs="Times New Roman"/>
          <w:color w:val="000000"/>
          <w:sz w:val="24"/>
          <w:szCs w:val="24"/>
        </w:rPr>
        <w:t>, external audit, bank guarantees, translation costs;</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(i) </w:t>
      </w:r>
      <w:r w:rsidRPr="00CD0CF3">
        <w:rPr>
          <w:rFonts w:ascii="Times New Roman" w:eastAsia="Times New Roman" w:hAnsi="Times New Roman" w:cs="Times New Roman"/>
          <w:color w:val="000000"/>
          <w:sz w:val="24"/>
          <w:szCs w:val="24"/>
          <w:lang w:val="en-US"/>
        </w:rPr>
        <w:t>expense</w:t>
      </w:r>
      <w:r w:rsidRPr="00CD0CF3">
        <w:rPr>
          <w:rFonts w:ascii="Times New Roman" w:eastAsia="Times New Roman" w:hAnsi="Times New Roman" w:cs="Times New Roman"/>
          <w:color w:val="000000"/>
          <w:sz w:val="24"/>
          <w:szCs w:val="24"/>
        </w:rPr>
        <w:t xml:space="preserve">s for fees for legal advice, notarial costs and technical and financial experts' fees;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sidDel="0054548B">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j</w:t>
      </w:r>
      <w:r w:rsidRPr="00CD0CF3">
        <w:rPr>
          <w:rFonts w:ascii="Times New Roman" w:eastAsia="Times New Roman" w:hAnsi="Times New Roman" w:cs="Times New Roman"/>
          <w:color w:val="000000"/>
          <w:sz w:val="24"/>
          <w:szCs w:val="24"/>
        </w:rPr>
        <w:t>) costs arising directly from requirements imposed by the project contract for each project</w:t>
      </w:r>
      <w:r w:rsidRPr="00CD0CF3">
        <w:rPr>
          <w:rFonts w:ascii="Times New Roman" w:eastAsia="Times New Roman" w:hAnsi="Times New Roman" w:cs="Times New Roman"/>
          <w:color w:val="000000"/>
          <w:sz w:val="24"/>
          <w:szCs w:val="24"/>
          <w:lang w:val="en-US"/>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Where the entire purchase price of equipment is eligible in accordance with point (c) of paragraph 1, the Project Promoter shall ensure that: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(a) keeps the equipment in its ownership for a period of at least five years following the completion of the project and continues to use that equipment for the benefit of the overall objectives of the project for the same period;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(b) keeps the equipment properly insured against losses such as fire, theft or other normally insurable incidents both during project implementation and for at least five years following the completion of the project; and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(c) sets aside appropriate resources for the maintenance of the equipment for at least five years following the completion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The specific means for the implementation of this obligation shall be specified in the project contract.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rPr>
        <w:t>Standard scales of unit costs</w:t>
      </w:r>
      <w:r w:rsidRPr="00CD0CF3">
        <w:rPr>
          <w:rFonts w:ascii="Times New Roman" w:eastAsia="Times New Roman" w:hAnsi="Times New Roman" w:cs="Times New Roman"/>
          <w:b/>
          <w:color w:val="000000"/>
          <w:sz w:val="24"/>
          <w:szCs w:val="24"/>
          <w:lang w:val="en-US"/>
        </w:rPr>
        <w:t xml:space="preserve"> (Article 8.4 of the Regulation) – Not Applicable</w:t>
      </w:r>
    </w:p>
    <w:p w:rsidR="00CD0CF3" w:rsidRPr="00CD0CF3" w:rsidRDefault="00CD0CF3" w:rsidP="00CD0CF3">
      <w:pPr>
        <w:spacing w:after="0" w:line="240" w:lineRule="auto"/>
        <w:ind w:firstLine="567"/>
        <w:jc w:val="both"/>
        <w:rPr>
          <w:rFonts w:ascii="Times New Roman" w:eastAsia="Times New Roman" w:hAnsi="Times New Roman" w:cs="Times New Roman"/>
          <w:b/>
          <w:color w:val="000000"/>
          <w:sz w:val="24"/>
          <w:szCs w:val="24"/>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lang w:val="en-US"/>
        </w:rPr>
        <w:t>Indirect costs in projects (overheads) (Article 8.5 of th</w:t>
      </w:r>
      <w:r w:rsidRPr="00CD0CF3">
        <w:rPr>
          <w:rFonts w:ascii="Times New Roman" w:eastAsia="Times New Roman" w:hAnsi="Times New Roman" w:cs="Times New Roman"/>
          <w:b/>
          <w:color w:val="000000"/>
          <w:sz w:val="24"/>
          <w:szCs w:val="24"/>
        </w:rPr>
        <w:t>е</w:t>
      </w:r>
      <w:r w:rsidRPr="00CD0CF3">
        <w:rPr>
          <w:rFonts w:ascii="Times New Roman" w:eastAsia="Times New Roman" w:hAnsi="Times New Roman" w:cs="Times New Roman"/>
          <w:b/>
          <w:color w:val="000000"/>
          <w:sz w:val="24"/>
          <w:szCs w:val="24"/>
          <w:lang w:val="en-US"/>
        </w:rPr>
        <w:t xml:space="preserv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r w:rsidRPr="00CD0CF3">
        <w:rPr>
          <w:rFonts w:ascii="Times New Roman" w:eastAsia="Times New Roman" w:hAnsi="Times New Roman" w:cs="Times New Roman"/>
          <w:color w:val="000000"/>
          <w:sz w:val="24"/>
          <w:szCs w:val="24"/>
          <w:lang w:val="en-GB"/>
        </w:rPr>
        <w:t xml:space="preserve">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 Project promoters and project partners may identify their indirect costs according to the method specified in </w:t>
      </w:r>
      <w:r w:rsidRPr="00CD0CF3">
        <w:rPr>
          <w:rFonts w:ascii="Times New Roman" w:eastAsia="Times New Roman" w:hAnsi="Times New Roman" w:cs="Times New Roman"/>
          <w:color w:val="000000"/>
          <w:sz w:val="24"/>
          <w:szCs w:val="24"/>
          <w:lang w:val="en-US"/>
        </w:rPr>
        <w:t>Article 8.5.1 (c) of the Regulation</w:t>
      </w:r>
      <w:r w:rsidRPr="00CD0CF3">
        <w:rPr>
          <w:rFonts w:ascii="Times New Roman" w:eastAsia="Times New Roman" w:hAnsi="Times New Roman" w:cs="Times New Roman"/>
          <w:color w:val="000000"/>
          <w:sz w:val="24"/>
          <w:szCs w:val="24"/>
          <w:lang w:val="en-GB"/>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GB"/>
        </w:rPr>
        <w:t>a flat rate of up to 15% of direct eligible staff costs without there being a requirement for the Programme Operator to perform a calculation to determine the applicable rate.</w:t>
      </w:r>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p>
    <w:p w:rsidR="00CD0CF3" w:rsidRPr="00CD0CF3" w:rsidRDefault="00CD0CF3" w:rsidP="00CD0CF3">
      <w:pPr>
        <w:spacing w:after="0" w:line="240" w:lineRule="auto"/>
        <w:ind w:firstLine="567"/>
        <w:jc w:val="both"/>
        <w:rPr>
          <w:rFonts w:ascii="Times New Roman" w:eastAsia="Times New Roman" w:hAnsi="Times New Roman" w:cs="Times New Roman"/>
          <w:b/>
          <w:bCs/>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bCs/>
          <w:color w:val="000000"/>
          <w:sz w:val="24"/>
          <w:szCs w:val="24"/>
          <w:lang w:val="en-US"/>
        </w:rPr>
      </w:pPr>
      <w:r w:rsidRPr="00CD0CF3">
        <w:rPr>
          <w:rFonts w:ascii="Times New Roman" w:eastAsia="Times New Roman" w:hAnsi="Times New Roman" w:cs="Times New Roman"/>
          <w:b/>
          <w:bCs/>
          <w:color w:val="000000"/>
          <w:sz w:val="24"/>
          <w:szCs w:val="24"/>
        </w:rPr>
        <w:t xml:space="preserve">Purchase of real estate and land </w:t>
      </w:r>
      <w:r w:rsidRPr="00CD0CF3">
        <w:rPr>
          <w:rFonts w:ascii="Times New Roman" w:eastAsia="Times New Roman" w:hAnsi="Times New Roman" w:cs="Times New Roman"/>
          <w:b/>
          <w:bCs/>
          <w:color w:val="000000"/>
          <w:sz w:val="24"/>
          <w:szCs w:val="24"/>
          <w:lang w:val="en-US"/>
        </w:rPr>
        <w:t>(Article 8.6 of the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1. The cost of purchase of real estate and land not built on may be eligible under the following conditions, without prejudice to the application of stricter national rules:</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(a) there shall be a direct link between the purchase and the objectives of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(b) purchase of real estate and/or land may not represent more than 10% of the total eligible expenditure of the project, unless a higher percentage is explicitly authorised in the programme agreement and set in the decision to award the project grant;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lastRenderedPageBreak/>
        <w:t>(c) a certificate shall be obtained prior to the purchase from an independent qualified evaluator or duly authorised official entity confirming that the purchase price does not exceed the market value and that it is free of all obligations in terms of mortgage and other liabilities, particularly in respect of damage related to pollution. In case of purchase of real estate the certificate must either confirm that the building in question is in conformity with national regulations, or specify what is not in conformity with national regulations but which is to be rectified by the Project Promoter under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(d)</w:t>
      </w:r>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real estate and/or the land shall be used for the purpose and for the period specified in the decision to award the project grant. The ownership must be transferred to the Project Promoter, or those explicitly designated by the Project Promoter in the project application as recipients of the real estate and/or the land, prior to the completion of the project. The real estate and/or the land cannot be sold, rented, or mortgaged within five years of the completion of the project, or longer if stipulated in the project contract. The NMFA may waive this restriction if it would result in an unreasonable burden on the Project Promoter;</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(e) the real estate and/or land may only be used in conformity with the objectives of the project. In particular, buildings may be used to accommodate public administration services only where such use is in conformity with the objective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(f) the purchase of real estate and/or land shall be explicitly approved by the Programme Operator prior to the purchase, either in the project contract or by a later decision.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Real estate shall mean buildings constructed or under development and the appropriate rights to the land on which they are built.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3. The restrictions referred to in paragraph 1(d) apply also to buildings that are constructed, reconstructed or renovated through a financial contribution from the Norwegian Financial Mechanism 2014-2021.</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4. The mortgage restriction referred to in paragraph 1(d) does not apply to a mortgage taken in favour of the Programme Operator or the National Focal Point when its purpose is solely to ensure compliance with the said paragraph.</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5. Expenditure on site preparation and construction which is essential for the implementation of the project may be eligible.</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6.</w:t>
      </w:r>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 of real estate and/or land already owned, directly or indirectly, by the Project Promoter, or purchase of real estate and/or land owned, directly or indirectly, by the project partner or a public administration, shall not be eligible. Under no circumstances shall real estate and/or land be purchased for speculative purposes. The real estate and/or the land shall not have received a national or external donor grant in the last 10 years which would give rise to a duplication of funding.</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
          <w:bCs/>
          <w:color w:val="000000"/>
          <w:sz w:val="24"/>
          <w:szCs w:val="24"/>
          <w:lang w:val="en-US"/>
        </w:rPr>
        <w:t xml:space="preserve">5. Excluded costs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1. This article shall apply mutatis mutandis to all costs unless otherwise explicitly stated in this Regulation.</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2. The following costs shall not be considered eligible:</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(a) interest on debt, debt service charges and late payment charges;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(b) charges for financial transactions and other purely financial costs, except costs related to accounts required by the NMFA, the National Focal Point or the applicable law and costs of financial services imposed by the project contract;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(c) provisions for losses or potential future liabilities;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(d) exchange losses;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(e) recoverable VAT;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lastRenderedPageBreak/>
        <w:t>(f) costs that are covered by other sources;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 xml:space="preserve">(g) fines, penalties and costs of litigation, except where litigation is an integral and necessary component for achieving the outcomes of the project;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(h) excessive or reckless expenditure</w:t>
      </w:r>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(i) entertainment expenses – eligible are reasonable expenses, such as hosting project-driven social events, project completion events or project management group meetings;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(j) costs relating to contracts with a subcontractor for implementation of:</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tasks related to the general management of the project;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which adds costs to the project without adding any proportional value to it;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Cs/>
          <w:color w:val="000000"/>
          <w:sz w:val="24"/>
          <w:szCs w:val="24"/>
        </w:rPr>
        <w:t>• with intermediaries or consultants where the payment is defined as a percentage from the total costs of the project unless the payment is justified by the final beneficiary, indicating the actual cost of the work performed or the services provided.</w:t>
      </w:r>
      <w:r w:rsidRPr="00CD0CF3" w:rsidDel="0054548B">
        <w:rPr>
          <w:rFonts w:ascii="Times New Roman" w:eastAsia="Times New Roman" w:hAnsi="Times New Roman" w:cs="Times New Roman"/>
          <w:bCs/>
          <w:color w:val="000000"/>
          <w:sz w:val="24"/>
          <w:szCs w:val="24"/>
        </w:rPr>
        <w:t xml:space="preserve"> </w:t>
      </w:r>
    </w:p>
    <w:p w:rsidR="007E341E" w:rsidRPr="00FE0E49" w:rsidRDefault="00FE3791"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                                                                                                                                                   </w:t>
      </w:r>
    </w:p>
    <w:p w:rsidR="00FE3791" w:rsidRPr="00FE3791" w:rsidRDefault="00FE3791" w:rsidP="00FE3791">
      <w:pPr>
        <w:rPr>
          <w:lang w:val="en-US"/>
        </w:rPr>
      </w:pPr>
    </w:p>
    <w:sectPr w:rsidR="00FE3791" w:rsidRPr="00FE379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5CB" w:rsidRDefault="00EC45CB" w:rsidP="00FE0E49">
      <w:pPr>
        <w:spacing w:after="0" w:line="240" w:lineRule="auto"/>
      </w:pPr>
      <w:r>
        <w:separator/>
      </w:r>
    </w:p>
  </w:endnote>
  <w:endnote w:type="continuationSeparator" w:id="0">
    <w:p w:rsidR="00EC45CB" w:rsidRDefault="00EC45CB" w:rsidP="00FE0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5CB" w:rsidRDefault="00EC45CB" w:rsidP="00FE0E49">
      <w:pPr>
        <w:spacing w:after="0" w:line="240" w:lineRule="auto"/>
      </w:pPr>
      <w:r>
        <w:separator/>
      </w:r>
    </w:p>
  </w:footnote>
  <w:footnote w:type="continuationSeparator" w:id="0">
    <w:p w:rsidR="00EC45CB" w:rsidRDefault="00EC45CB" w:rsidP="00FE0E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49" w:rsidRDefault="00962F87">
    <w:pPr>
      <w:pStyle w:val="Header"/>
    </w:pPr>
    <w:r>
      <w:rPr>
        <w:noProof/>
        <w:lang w:eastAsia="bg-BG"/>
      </w:rPr>
      <w:drawing>
        <wp:inline distT="0" distB="0" distL="0" distR="0" wp14:anchorId="7498BBB4" wp14:editId="2265E466">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r w:rsidR="00FE0E49">
      <w:rPr>
        <w:lang w:val="en-US"/>
      </w:rPr>
      <w:tab/>
    </w:r>
    <w:r w:rsidR="00FE0E49">
      <w:rPr>
        <w:lang w:val="en-US"/>
      </w:rPr>
      <w:tab/>
    </w:r>
    <w:r>
      <w:rPr>
        <w:lang w:val="en-US"/>
      </w:rPr>
      <w:t xml:space="preserve">Annex </w:t>
    </w:r>
    <w:r w:rsidR="00FE0E49" w:rsidRPr="00FE0E49">
      <w:t xml:space="preserve"> XVI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646A"/>
    <w:multiLevelType w:val="hybridMultilevel"/>
    <w:tmpl w:val="F1C6E3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03F4C05"/>
    <w:multiLevelType w:val="hybridMultilevel"/>
    <w:tmpl w:val="52C47B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6D3D1ABA"/>
    <w:multiLevelType w:val="hybridMultilevel"/>
    <w:tmpl w:val="F2ECE094"/>
    <w:lvl w:ilvl="0" w:tplc="04020001">
      <w:start w:val="1"/>
      <w:numFmt w:val="bullet"/>
      <w:lvlText w:val=""/>
      <w:lvlJc w:val="left"/>
      <w:pPr>
        <w:ind w:left="783" w:hanging="360"/>
      </w:pPr>
      <w:rPr>
        <w:rFonts w:ascii="Symbol" w:hAnsi="Symbol" w:hint="default"/>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C06"/>
    <w:rsid w:val="000C282C"/>
    <w:rsid w:val="000D152C"/>
    <w:rsid w:val="001E457F"/>
    <w:rsid w:val="002A0C06"/>
    <w:rsid w:val="00301EA2"/>
    <w:rsid w:val="003E139F"/>
    <w:rsid w:val="004B5370"/>
    <w:rsid w:val="004C3358"/>
    <w:rsid w:val="00500EB3"/>
    <w:rsid w:val="00540989"/>
    <w:rsid w:val="00565506"/>
    <w:rsid w:val="006B6C61"/>
    <w:rsid w:val="007E341E"/>
    <w:rsid w:val="008C0D33"/>
    <w:rsid w:val="008C568D"/>
    <w:rsid w:val="00935EE5"/>
    <w:rsid w:val="00962F87"/>
    <w:rsid w:val="009641C5"/>
    <w:rsid w:val="00B54A2B"/>
    <w:rsid w:val="00C55DDF"/>
    <w:rsid w:val="00C70B01"/>
    <w:rsid w:val="00CA34D9"/>
    <w:rsid w:val="00CD0CF3"/>
    <w:rsid w:val="00E40810"/>
    <w:rsid w:val="00EC45CB"/>
    <w:rsid w:val="00F34DF6"/>
    <w:rsid w:val="00F77693"/>
    <w:rsid w:val="00FC3730"/>
    <w:rsid w:val="00FC3E13"/>
    <w:rsid w:val="00FE0E49"/>
    <w:rsid w:val="00FE37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A. Garkova</dc:creator>
  <cp:lastModifiedBy>Petka I. Ivanova</cp:lastModifiedBy>
  <cp:revision>2</cp:revision>
  <dcterms:created xsi:type="dcterms:W3CDTF">2019-11-27T13:01:00Z</dcterms:created>
  <dcterms:modified xsi:type="dcterms:W3CDTF">2019-11-27T13:01:00Z</dcterms:modified>
</cp:coreProperties>
</file>